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26E24" w:rsidRDefault="00F9026C">
            <w:pPr>
              <w:ind w:right="52"/>
            </w:pPr>
            <w:bookmarkStart w:id="0" w:name="_GoBack"/>
            <w:bookmarkEnd w:id="0"/>
            <w:r>
              <w:t xml:space="preserve">Žiadosť o kolaudáciu stavby podľa § 66 Stavebného zákona </w:t>
            </w:r>
          </w:p>
        </w:tc>
      </w:tr>
      <w:tr w:rsidR="00B26E24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9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3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312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9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1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118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</w:tbl>
    <w:p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3D19FA"/>
    <w:rsid w:val="00B26E24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ZADŇANČINOVÁ Jana</dc:creator>
  <cp:keywords/>
  <cp:lastModifiedBy>HELL Igor</cp:lastModifiedBy>
  <cp:revision>2</cp:revision>
  <dcterms:created xsi:type="dcterms:W3CDTF">2025-05-05T08:48:00Z</dcterms:created>
  <dcterms:modified xsi:type="dcterms:W3CDTF">2025-05-05T08:48:00Z</dcterms:modified>
</cp:coreProperties>
</file>